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400" w:before="0" w:lineRule="auto"/>
        <w:jc w:val="center"/>
        <w:rPr>
          <w:color w:val="a8aaad"/>
          <w:sz w:val="34"/>
          <w:szCs w:val="34"/>
        </w:rPr>
      </w:pPr>
      <w:r w:rsidDel="00000000" w:rsidR="00000000" w:rsidRPr="00000000">
        <w:rPr>
          <w:rFonts w:ascii="Montserrat" w:cs="Montserrat" w:eastAsia="Montserrat" w:hAnsi="Montserrat"/>
          <w:b w:val="1"/>
          <w:color w:val="a8aaad"/>
          <w:sz w:val="34"/>
          <w:szCs w:val="34"/>
        </w:rPr>
        <w:drawing>
          <wp:inline distB="0" distT="0" distL="114300" distR="114300">
            <wp:extent cx="1438275" cy="1152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8275"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color w:val="ff0000"/>
          <w:sz w:val="36"/>
          <w:szCs w:val="36"/>
        </w:rPr>
      </w:pPr>
      <w:r w:rsidDel="00000000" w:rsidR="00000000" w:rsidRPr="00000000">
        <w:rPr>
          <w:b w:val="1"/>
          <w:color w:val="ff0000"/>
          <w:sz w:val="36"/>
          <w:szCs w:val="36"/>
          <w:rtl w:val="0"/>
        </w:rPr>
        <w:t xml:space="preserve">Old Actonians Youth Football Club</w:t>
      </w:r>
      <w:r w:rsidDel="00000000" w:rsidR="00000000" w:rsidRPr="00000000">
        <w:rPr>
          <w:rtl w:val="0"/>
        </w:rPr>
      </w:r>
    </w:p>
    <w:p w:rsidR="00000000" w:rsidDel="00000000" w:rsidP="00000000" w:rsidRDefault="00000000" w:rsidRPr="00000000" w14:paraId="00000003">
      <w:pPr>
        <w:spacing w:line="240" w:lineRule="auto"/>
        <w:jc w:val="center"/>
        <w:rPr>
          <w:b w:val="1"/>
          <w:color w:val="ff0000"/>
          <w:sz w:val="31"/>
          <w:szCs w:val="3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0" w:before="0" w:lineRule="auto"/>
        <w:jc w:val="center"/>
        <w:rPr>
          <w:b w:val="1"/>
          <w:highlight w:val="white"/>
          <w:u w:val="single"/>
        </w:rPr>
      </w:pPr>
      <w:r w:rsidDel="00000000" w:rsidR="00000000" w:rsidRPr="00000000">
        <w:rPr>
          <w:b w:val="1"/>
          <w:color w:val="ff0000"/>
          <w:sz w:val="34"/>
          <w:szCs w:val="34"/>
          <w:highlight w:val="white"/>
          <w:rtl w:val="0"/>
        </w:rPr>
        <w:t xml:space="preserve">Selection Policy For Old Actonians YFC</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0" w:before="0" w:line="276" w:lineRule="auto"/>
        <w:rPr>
          <w:b w:val="1"/>
          <w:highlight w:val="white"/>
        </w:rPr>
      </w:pPr>
      <w:r w:rsidDel="00000000" w:rsidR="00000000" w:rsidRPr="00000000">
        <w:rPr>
          <w:b w:val="1"/>
          <w:highlight w:val="white"/>
          <w:rtl w:val="0"/>
        </w:rPr>
        <w:t xml:space="preserve">SELECTION PRINCIPLES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0" w:before="0" w:lineRule="auto"/>
        <w:ind w:left="720" w:firstLine="0"/>
        <w:rPr>
          <w:highlight w:val="white"/>
        </w:rPr>
      </w:pPr>
      <w:r w:rsidDel="00000000" w:rsidR="00000000" w:rsidRPr="00000000">
        <w:rPr>
          <w:b w:val="1"/>
          <w:highlight w:val="white"/>
          <w:rtl w:val="0"/>
        </w:rPr>
        <w:t xml:space="preserve">Transparency</w:t>
      </w:r>
      <w:r w:rsidDel="00000000" w:rsidR="00000000" w:rsidRPr="00000000">
        <w:rPr>
          <w:highlight w:val="white"/>
          <w:rtl w:val="0"/>
        </w:rPr>
        <w:t xml:space="preserve"> – parents and players have the right to an explanation of decisions which directly affect them;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0" w:before="0" w:lineRule="auto"/>
        <w:ind w:left="720" w:firstLine="0"/>
        <w:rPr>
          <w:highlight w:val="white"/>
        </w:rPr>
      </w:pPr>
      <w:r w:rsidDel="00000000" w:rsidR="00000000" w:rsidRPr="00000000">
        <w:rPr>
          <w:b w:val="1"/>
          <w:highlight w:val="white"/>
          <w:rtl w:val="0"/>
        </w:rPr>
        <w:t xml:space="preserve">Fairness</w:t>
      </w:r>
      <w:r w:rsidDel="00000000" w:rsidR="00000000" w:rsidRPr="00000000">
        <w:rPr>
          <w:highlight w:val="white"/>
          <w:rtl w:val="0"/>
        </w:rPr>
        <w:t xml:space="preserve"> – all players should be regarded as valued members of the club and given the chance to develop their ability;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before="0" w:lineRule="auto"/>
        <w:ind w:left="720" w:firstLine="0"/>
        <w:rPr>
          <w:highlight w:val="white"/>
        </w:rPr>
      </w:pPr>
      <w:r w:rsidDel="00000000" w:rsidR="00000000" w:rsidRPr="00000000">
        <w:rPr>
          <w:b w:val="1"/>
          <w:highlight w:val="white"/>
          <w:rtl w:val="0"/>
        </w:rPr>
        <w:t xml:space="preserve">Honesty</w:t>
      </w:r>
      <w:r w:rsidDel="00000000" w:rsidR="00000000" w:rsidRPr="00000000">
        <w:rPr>
          <w:highlight w:val="white"/>
          <w:rtl w:val="0"/>
        </w:rPr>
        <w:t xml:space="preserve"> – parents and players are entitled to a reasonably accurate understanding of what they can expect from the club – especially when they sign up for a new season.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0" w:before="0" w:line="276" w:lineRule="auto"/>
        <w:rPr>
          <w:b w:val="1"/>
          <w:highlight w:val="white"/>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0" w:before="0" w:line="276" w:lineRule="auto"/>
        <w:rPr>
          <w:b w:val="1"/>
          <w:highlight w:val="white"/>
        </w:rPr>
      </w:pPr>
      <w:r w:rsidDel="00000000" w:rsidR="00000000" w:rsidRPr="00000000">
        <w:rPr>
          <w:b w:val="1"/>
          <w:highlight w:val="white"/>
          <w:rtl w:val="0"/>
        </w:rPr>
        <w:t xml:space="preserve">Why do we need a selection policy?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0" w:before="0" w:line="276" w:lineRule="auto"/>
        <w:rPr>
          <w:highlight w:val="white"/>
        </w:rPr>
      </w:pPr>
      <w:r w:rsidDel="00000000" w:rsidR="00000000" w:rsidRPr="00000000">
        <w:rPr>
          <w:highlight w:val="white"/>
          <w:rtl w:val="0"/>
        </w:rPr>
        <w:t xml:space="preserve">Because the club is continuing to grow we simply cannot guarantee being able to provide adequate playing opportunities, facilities, coaching personnel and equipment for all those who wish to join us. Having too many players, or too wide a range of abilities in specific teams, can adversely affect all members of the squad.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When faced with this problem we will always look to see if we can expand capacity - additional coaches, teams, pitches - but this may take time to secure, and the league only allows new team registrations at certain times of the year.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0" w:before="0" w:line="276" w:lineRule="auto"/>
        <w:rPr>
          <w:highlight w:val="white"/>
        </w:rPr>
      </w:pPr>
      <w:r w:rsidDel="00000000" w:rsidR="00000000" w:rsidRPr="00000000">
        <w:rPr>
          <w:highlight w:val="white"/>
          <w:rtl w:val="0"/>
        </w:rPr>
        <w:t xml:space="preserve">Therefore the following principles apply in terms of player selection.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00" w:before="0" w:line="276" w:lineRule="auto"/>
        <w:rPr>
          <w:highlight w:val="whit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00" w:before="0" w:line="276" w:lineRule="auto"/>
        <w:rPr>
          <w:b w:val="1"/>
          <w:highlight w:val="white"/>
        </w:rPr>
      </w:pPr>
      <w:r w:rsidDel="00000000" w:rsidR="00000000" w:rsidRPr="00000000">
        <w:rPr>
          <w:b w:val="1"/>
          <w:highlight w:val="white"/>
          <w:rtl w:val="0"/>
        </w:rPr>
        <w:t xml:space="preserve">PLAYER NUMBERS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00" w:before="0" w:line="276" w:lineRule="auto"/>
        <w:rPr>
          <w:highlight w:val="white"/>
        </w:rPr>
      </w:pPr>
      <w:r w:rsidDel="00000000" w:rsidR="00000000" w:rsidRPr="00000000">
        <w:rPr>
          <w:highlight w:val="white"/>
          <w:rtl w:val="0"/>
        </w:rPr>
        <w:t xml:space="preserve">Squads have to balance the requirement of having enough players to ensure they can field a team every week with the downside of having too many players, which restricts individual playing time and the building of effective teamwork. This number varies by age group and the level of player commitment.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The coach decides the match day squad, starting line-up and substitutions. ALL substitutes would be expected to take part in any match for which they have been selected.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The parent rep and coach should manage a rotation system, so that the same players are not regularly excluded from match day squads.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All new players will be warned in advance of paying a fee, if a team or age group has no available space in a match squad suited to the player’s ability. These players will be invited to be a ‘training member’ at a lower fee until there is an appropriate match squad vacancy, or invited to find another club which suits the players needs.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00" w:before="0" w:lineRule="auto"/>
        <w:rPr>
          <w:b w:val="1"/>
          <w:highlight w:val="white"/>
        </w:rPr>
      </w:pPr>
      <w:r w:rsidDel="00000000" w:rsidR="00000000" w:rsidRPr="00000000">
        <w:rPr>
          <w:b w:val="1"/>
          <w:highlight w:val="white"/>
          <w:rtl w:val="0"/>
        </w:rPr>
        <w:t xml:space="preserve">PLAYER ABILITY</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The Harrow League works on the basis of competitive fixtures between teams of a similar level of ability. Therefore OAYFC reserves the right to move players between teams, based on performance and potential - this includes the possibility of a player playing in the year group above.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This is a decision for the coach, who should inform the parent rep.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400" w:before="0" w:lineRule="auto"/>
        <w:rPr>
          <w:highlight w:val="white"/>
        </w:rPr>
      </w:pPr>
      <w:r w:rsidDel="00000000" w:rsidR="00000000" w:rsidRPr="00000000">
        <w:rPr>
          <w:highlight w:val="white"/>
          <w:rtl w:val="0"/>
        </w:rPr>
        <w:t xml:space="preserve">The coach will deal with anyone being moved in a careful and considerate manner, with the player and their parent/guardian being given a full explanation for why the move is taking place.  </w:t>
      </w:r>
    </w:p>
    <w:p w:rsidR="00000000" w:rsidDel="00000000" w:rsidP="00000000" w:rsidRDefault="00000000" w:rsidRPr="00000000" w14:paraId="00000018">
      <w:pPr>
        <w:rPr/>
      </w:pPr>
      <w:r w:rsidDel="00000000" w:rsidR="00000000" w:rsidRPr="00000000">
        <w:rPr>
          <w:rtl w:val="0"/>
        </w:rPr>
        <w:t xml:space="preserve">If the player, parent or guardian declines to make the move recommended by the coach they can appeal to the Head Coach, whose decision will be final. If they continue to object to the move they will be asked to leave the club, and their registration returned to the Harrow League</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bold.ttf"/><Relationship Id="rId2"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